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0741" w14:textId="00942053" w:rsidR="00624FA7" w:rsidRPr="005C3776" w:rsidRDefault="007270C5" w:rsidP="00624FA7">
      <w:pPr>
        <w:spacing w:after="0"/>
        <w:jc w:val="center"/>
        <w:rPr>
          <w:b/>
          <w:color w:val="595959" w:themeColor="text1" w:themeTint="A6"/>
          <w:sz w:val="24"/>
          <w:lang w:val="en-US"/>
        </w:rPr>
      </w:pPr>
      <w:r w:rsidRPr="005C3776">
        <w:rPr>
          <w:b/>
          <w:color w:val="595959" w:themeColor="text1" w:themeTint="A6"/>
          <w:sz w:val="24"/>
          <w:lang w:val="en-US"/>
        </w:rPr>
        <w:t>EU SPIRITS &amp; WINE PRODUCERS WELCOME</w:t>
      </w:r>
      <w:r w:rsidRPr="005C3776">
        <w:rPr>
          <w:b/>
          <w:i/>
          <w:color w:val="595959" w:themeColor="text1" w:themeTint="A6"/>
          <w:sz w:val="24"/>
          <w:lang w:val="en-US"/>
        </w:rPr>
        <w:t xml:space="preserve"> </w:t>
      </w:r>
      <w:r w:rsidRPr="005C3776">
        <w:rPr>
          <w:b/>
          <w:color w:val="595959" w:themeColor="text1" w:themeTint="A6"/>
          <w:sz w:val="24"/>
          <w:lang w:val="en-US"/>
        </w:rPr>
        <w:t xml:space="preserve">BREXIT PROGRESS AND </w:t>
      </w:r>
    </w:p>
    <w:p w14:paraId="3ACAA331" w14:textId="44A55469" w:rsidR="00D368A7" w:rsidRPr="005C3776" w:rsidRDefault="007270C5" w:rsidP="00624FA7">
      <w:pPr>
        <w:spacing w:after="0"/>
        <w:jc w:val="center"/>
        <w:rPr>
          <w:b/>
          <w:color w:val="595959" w:themeColor="text1" w:themeTint="A6"/>
          <w:sz w:val="24"/>
          <w:lang w:val="en-US"/>
        </w:rPr>
      </w:pPr>
      <w:r w:rsidRPr="005C3776">
        <w:rPr>
          <w:b/>
          <w:color w:val="595959" w:themeColor="text1" w:themeTint="A6"/>
          <w:sz w:val="24"/>
          <w:lang w:val="en-US"/>
        </w:rPr>
        <w:t>CALL FOR EXPEDITED AGREEMENT ON TRANSITION</w:t>
      </w:r>
    </w:p>
    <w:p w14:paraId="49314E29" w14:textId="77777777" w:rsidR="0068399E" w:rsidRDefault="0068399E" w:rsidP="00C56422">
      <w:pPr>
        <w:spacing w:after="0"/>
        <w:jc w:val="both"/>
        <w:rPr>
          <w:b/>
          <w:i/>
          <w:lang w:val="en-US"/>
        </w:rPr>
      </w:pPr>
    </w:p>
    <w:p w14:paraId="7B0774A2" w14:textId="7FA57EF6" w:rsidR="007270C5" w:rsidRPr="00683F59" w:rsidRDefault="001825B4" w:rsidP="00683F59">
      <w:pPr>
        <w:spacing w:after="0" w:line="240" w:lineRule="auto"/>
        <w:jc w:val="both"/>
        <w:rPr>
          <w:b/>
          <w:i/>
          <w:lang w:val="en-GB"/>
        </w:rPr>
      </w:pPr>
      <w:r w:rsidRPr="00683F59">
        <w:rPr>
          <w:b/>
          <w:i/>
          <w:lang w:val="en-US"/>
        </w:rPr>
        <w:t>Brussels, 1</w:t>
      </w:r>
      <w:r w:rsidR="007270C5" w:rsidRPr="00683F59">
        <w:rPr>
          <w:b/>
          <w:i/>
          <w:lang w:val="en-US"/>
        </w:rPr>
        <w:t>4</w:t>
      </w:r>
      <w:r w:rsidRPr="00683F59">
        <w:rPr>
          <w:b/>
          <w:i/>
          <w:lang w:val="en-US"/>
        </w:rPr>
        <w:t xml:space="preserve"> </w:t>
      </w:r>
      <w:r w:rsidR="007270C5" w:rsidRPr="00683F59">
        <w:rPr>
          <w:b/>
          <w:i/>
          <w:lang w:val="en-US"/>
        </w:rPr>
        <w:t>December</w:t>
      </w:r>
      <w:r w:rsidRPr="00683F59">
        <w:rPr>
          <w:b/>
          <w:i/>
          <w:lang w:val="en-US"/>
        </w:rPr>
        <w:t xml:space="preserve"> 2017 – </w:t>
      </w:r>
      <w:r w:rsidR="007270C5" w:rsidRPr="00683F59">
        <w:rPr>
          <w:b/>
          <w:i/>
          <w:lang w:val="en-GB"/>
        </w:rPr>
        <w:t xml:space="preserve">The European spirit drink and wine industries welcome the European Commission’s recommendation to declare “sufficient progress” </w:t>
      </w:r>
      <w:r w:rsidR="0029179A" w:rsidRPr="00683F59">
        <w:rPr>
          <w:b/>
          <w:i/>
          <w:lang w:val="en-GB"/>
        </w:rPr>
        <w:t>in the first phase of the Brexit negotiations</w:t>
      </w:r>
      <w:r w:rsidR="007270C5" w:rsidRPr="00683F59">
        <w:rPr>
          <w:b/>
          <w:i/>
          <w:lang w:val="en-GB"/>
        </w:rPr>
        <w:t xml:space="preserve">, and now encourage the EU-27 leaders to support this decision. </w:t>
      </w:r>
    </w:p>
    <w:p w14:paraId="69398F85" w14:textId="77777777" w:rsidR="007270C5" w:rsidRPr="00683F59" w:rsidRDefault="007270C5" w:rsidP="00683F59">
      <w:pPr>
        <w:spacing w:after="0" w:line="240" w:lineRule="auto"/>
        <w:jc w:val="both"/>
        <w:rPr>
          <w:b/>
          <w:i/>
          <w:lang w:val="en-GB"/>
        </w:rPr>
      </w:pPr>
    </w:p>
    <w:p w14:paraId="6812747E" w14:textId="21CA4F96" w:rsidR="007270C5" w:rsidRPr="00683F59" w:rsidRDefault="007270C5" w:rsidP="00683F59">
      <w:pPr>
        <w:spacing w:after="0" w:line="240" w:lineRule="auto"/>
        <w:jc w:val="both"/>
        <w:rPr>
          <w:lang w:val="en-GB"/>
        </w:rPr>
      </w:pPr>
      <w:r w:rsidRPr="00683F59">
        <w:rPr>
          <w:lang w:val="en-GB"/>
        </w:rPr>
        <w:t xml:space="preserve">Christian Porta, President of </w:t>
      </w:r>
      <w:proofErr w:type="spellStart"/>
      <w:r w:rsidRPr="00683F59">
        <w:rPr>
          <w:lang w:val="en-GB"/>
        </w:rPr>
        <w:t>spiritsEUROPE</w:t>
      </w:r>
      <w:proofErr w:type="spellEnd"/>
      <w:r w:rsidRPr="00683F59">
        <w:rPr>
          <w:lang w:val="en-GB"/>
        </w:rPr>
        <w:t xml:space="preserve"> comments “</w:t>
      </w:r>
      <w:r w:rsidR="00EE645D" w:rsidRPr="00683F59">
        <w:rPr>
          <w:i/>
          <w:lang w:val="en-GB"/>
        </w:rPr>
        <w:t>Our industry</w:t>
      </w:r>
      <w:r w:rsidR="0066500C" w:rsidRPr="00683F59">
        <w:rPr>
          <w:i/>
          <w:lang w:val="en-GB"/>
        </w:rPr>
        <w:t xml:space="preserve"> welcomes the progresses acknowledged in the Joint Report</w:t>
      </w:r>
      <w:r w:rsidR="0066500C" w:rsidRPr="00683F59">
        <w:rPr>
          <w:lang w:val="en-GB"/>
        </w:rPr>
        <w:t xml:space="preserve"> and</w:t>
      </w:r>
      <w:r w:rsidR="00EE645D" w:rsidRPr="00683F59">
        <w:rPr>
          <w:i/>
          <w:lang w:val="en-GB"/>
        </w:rPr>
        <w:t xml:space="preserve"> </w:t>
      </w:r>
      <w:r w:rsidR="002A4793" w:rsidRPr="00683F59">
        <w:rPr>
          <w:i/>
          <w:lang w:val="en-GB"/>
        </w:rPr>
        <w:t xml:space="preserve">fully supports </w:t>
      </w:r>
      <w:r w:rsidRPr="00683F59">
        <w:rPr>
          <w:i/>
          <w:lang w:val="en-GB"/>
        </w:rPr>
        <w:t>the ambition for a ‘transition period covering the whole of the EU acquis’ outlined in the European Council’s draft guidelines. We now call upon the negotiators on the UK’s side to match this level of ambition. An expedited agreement is essential in reducing uncertainty for our Members, and their suppliers, across the EU-27 and in the UK</w:t>
      </w:r>
      <w:r w:rsidRPr="00683F59">
        <w:rPr>
          <w:lang w:val="en-GB"/>
        </w:rPr>
        <w:t xml:space="preserve">”. </w:t>
      </w:r>
    </w:p>
    <w:p w14:paraId="4105CA17" w14:textId="77777777" w:rsidR="007270C5" w:rsidRPr="00683F59" w:rsidRDefault="007270C5" w:rsidP="00683F59">
      <w:pPr>
        <w:spacing w:after="0" w:line="240" w:lineRule="auto"/>
        <w:jc w:val="both"/>
        <w:rPr>
          <w:lang w:val="en-GB"/>
        </w:rPr>
      </w:pPr>
    </w:p>
    <w:p w14:paraId="270BF98A" w14:textId="2FDBD375" w:rsidR="007270C5" w:rsidRPr="00683F59" w:rsidRDefault="007270C5" w:rsidP="00683F59">
      <w:pPr>
        <w:spacing w:after="0" w:line="240" w:lineRule="auto"/>
        <w:jc w:val="both"/>
        <w:rPr>
          <w:lang w:val="en-GB"/>
        </w:rPr>
      </w:pPr>
      <w:r w:rsidRPr="00683F59">
        <w:rPr>
          <w:lang w:val="en-GB"/>
        </w:rPr>
        <w:t xml:space="preserve">Our industries hope that negotiators on both sides maintain the momentum built to date, and ensure that the Joint Report is translated into a watertight Withdrawal Agreement with the minimum of delay. In doing so, we would particularly appreciate </w:t>
      </w:r>
      <w:r w:rsidR="0066500C" w:rsidRPr="00683F59">
        <w:rPr>
          <w:lang w:val="en-GB"/>
        </w:rPr>
        <w:t xml:space="preserve">commitment for continuous full protection of our GIs and trademarks, as well as </w:t>
      </w:r>
      <w:r w:rsidRPr="00683F59">
        <w:rPr>
          <w:lang w:val="en-GB"/>
        </w:rPr>
        <w:t xml:space="preserve">clarity on a definition of the ‘placing of goods on the market’ that takes into account the diversity of sectoral business models. </w:t>
      </w:r>
    </w:p>
    <w:p w14:paraId="75F5FB27" w14:textId="77777777" w:rsidR="007270C5" w:rsidRPr="00683F59" w:rsidRDefault="007270C5" w:rsidP="00683F59">
      <w:pPr>
        <w:spacing w:after="0" w:line="240" w:lineRule="auto"/>
        <w:jc w:val="both"/>
        <w:rPr>
          <w:lang w:val="en-GB"/>
        </w:rPr>
      </w:pPr>
    </w:p>
    <w:p w14:paraId="767AF215" w14:textId="680054B0" w:rsidR="005C3776" w:rsidRPr="00683F59" w:rsidRDefault="007270C5" w:rsidP="00683F59">
      <w:pPr>
        <w:spacing w:after="0" w:line="240" w:lineRule="auto"/>
        <w:jc w:val="both"/>
        <w:rPr>
          <w:rFonts w:eastAsia="Times New Roman"/>
          <w:lang w:val="en-US"/>
        </w:rPr>
      </w:pPr>
      <w:r w:rsidRPr="00683F59">
        <w:rPr>
          <w:lang w:val="en-GB"/>
        </w:rPr>
        <w:t>In addition, in relation to Northern Ireland, we note the need to seek further clarity on how the Irish border will work in practice and look forward to seeing concrete mechanism</w:t>
      </w:r>
      <w:r w:rsidR="002A4793" w:rsidRPr="00683F59">
        <w:rPr>
          <w:lang w:val="en-GB"/>
        </w:rPr>
        <w:t>s</w:t>
      </w:r>
      <w:r w:rsidRPr="00683F59">
        <w:rPr>
          <w:lang w:val="en-GB"/>
        </w:rPr>
        <w:t xml:space="preserve"> proposed in the near future to resolve the issue</w:t>
      </w:r>
      <w:r w:rsidR="005C3776" w:rsidRPr="00683F59">
        <w:rPr>
          <w:lang w:val="en-GB"/>
        </w:rPr>
        <w:t xml:space="preserve">. </w:t>
      </w:r>
      <w:r w:rsidR="005C3776" w:rsidRPr="00683F59">
        <w:rPr>
          <w:rFonts w:eastAsia="Times New Roman"/>
          <w:lang w:val="en-US"/>
        </w:rPr>
        <w:t>William Lavelle, Head of the Irish Spirits Association stated: "</w:t>
      </w:r>
      <w:r w:rsidR="005C3776" w:rsidRPr="00683F59">
        <w:rPr>
          <w:rFonts w:eastAsia="Times New Roman"/>
          <w:i/>
          <w:lang w:val="en-US"/>
        </w:rPr>
        <w:t xml:space="preserve">We welcome the agreement to avoid a hard border on the island of Ireland. We will continue to press to ensure that the final agreement protects our integrated all-island spirits industry and our cross-border supply chains. We also want to ensure that our three spirit GIs (Irish whiskey, cream liqueur and </w:t>
      </w:r>
      <w:proofErr w:type="spellStart"/>
      <w:r w:rsidR="005C3776" w:rsidRPr="00683F59">
        <w:rPr>
          <w:rFonts w:eastAsia="Times New Roman"/>
          <w:i/>
          <w:lang w:val="en-US"/>
        </w:rPr>
        <w:t>Poitín</w:t>
      </w:r>
      <w:proofErr w:type="spellEnd"/>
      <w:r w:rsidR="005C3776" w:rsidRPr="00683F59">
        <w:rPr>
          <w:rFonts w:eastAsia="Times New Roman"/>
          <w:i/>
          <w:lang w:val="en-US"/>
        </w:rPr>
        <w:t xml:space="preserve">) which operate on an all-island basis, continue to be </w:t>
      </w:r>
      <w:proofErr w:type="spellStart"/>
      <w:r w:rsidR="005C3776" w:rsidRPr="00683F59">
        <w:rPr>
          <w:rFonts w:eastAsia="Times New Roman"/>
          <w:i/>
          <w:lang w:val="en-US"/>
        </w:rPr>
        <w:t>recognised</w:t>
      </w:r>
      <w:proofErr w:type="spellEnd"/>
      <w:r w:rsidR="005C3776" w:rsidRPr="00683F59">
        <w:rPr>
          <w:rFonts w:eastAsia="Times New Roman"/>
          <w:i/>
          <w:lang w:val="en-US"/>
        </w:rPr>
        <w:t xml:space="preserve"> and enforced equally by both Irish and UK authorities</w:t>
      </w:r>
      <w:r w:rsidR="005C3776" w:rsidRPr="00683F59">
        <w:rPr>
          <w:rFonts w:eastAsia="Times New Roman"/>
          <w:lang w:val="en-US"/>
        </w:rPr>
        <w:t>."</w:t>
      </w:r>
    </w:p>
    <w:p w14:paraId="79A54703" w14:textId="77777777" w:rsidR="007270C5" w:rsidRPr="00683F59" w:rsidRDefault="007270C5" w:rsidP="00683F59">
      <w:pPr>
        <w:spacing w:after="0" w:line="240" w:lineRule="auto"/>
        <w:jc w:val="both"/>
        <w:rPr>
          <w:lang w:val="en-GB"/>
        </w:rPr>
      </w:pPr>
    </w:p>
    <w:p w14:paraId="348C2650" w14:textId="13007F55" w:rsidR="007270C5" w:rsidRPr="00683F59" w:rsidRDefault="007270C5" w:rsidP="00683F59">
      <w:pPr>
        <w:spacing w:after="0" w:line="240" w:lineRule="auto"/>
        <w:jc w:val="both"/>
        <w:rPr>
          <w:lang w:val="en-US"/>
        </w:rPr>
      </w:pPr>
      <w:r w:rsidRPr="00683F59">
        <w:rPr>
          <w:lang w:val="en-GB"/>
        </w:rPr>
        <w:t xml:space="preserve">Jean-Marie </w:t>
      </w:r>
      <w:proofErr w:type="spellStart"/>
      <w:r w:rsidRPr="00683F59">
        <w:rPr>
          <w:lang w:val="en-GB"/>
        </w:rPr>
        <w:t>Barill</w:t>
      </w:r>
      <w:r w:rsidRPr="00683F59">
        <w:rPr>
          <w:lang w:val="en-US"/>
        </w:rPr>
        <w:t>ère</w:t>
      </w:r>
      <w:proofErr w:type="spellEnd"/>
      <w:r w:rsidRPr="00683F59">
        <w:rPr>
          <w:lang w:val="en-US"/>
        </w:rPr>
        <w:t xml:space="preserve">, President of </w:t>
      </w:r>
      <w:r w:rsidRPr="00683F59">
        <w:rPr>
          <w:lang w:val="en-GB"/>
        </w:rPr>
        <w:t>CEEV</w:t>
      </w:r>
      <w:r w:rsidRPr="00683F59">
        <w:rPr>
          <w:lang w:val="en-US"/>
        </w:rPr>
        <w:t xml:space="preserve"> adds “</w:t>
      </w:r>
      <w:r w:rsidRPr="00683F59">
        <w:rPr>
          <w:i/>
          <w:lang w:val="en-US"/>
        </w:rPr>
        <w:t xml:space="preserve">We need clarity on exactly how these political statements of intent will be translated into technical and operational realities. Looking ahead, an early agreement </w:t>
      </w:r>
      <w:r w:rsidR="0066500C" w:rsidRPr="00683F59">
        <w:rPr>
          <w:i/>
          <w:lang w:val="en-US"/>
        </w:rPr>
        <w:t xml:space="preserve">securing continuous full protection </w:t>
      </w:r>
      <w:r w:rsidRPr="00683F59">
        <w:rPr>
          <w:i/>
          <w:lang w:val="en-US"/>
        </w:rPr>
        <w:t xml:space="preserve">of the PDO/PGIs for wines and GIs for spirit drinks </w:t>
      </w:r>
      <w:r w:rsidR="0066500C" w:rsidRPr="00683F59">
        <w:rPr>
          <w:i/>
          <w:lang w:val="en-US"/>
        </w:rPr>
        <w:t xml:space="preserve">is </w:t>
      </w:r>
      <w:r w:rsidRPr="00683F59">
        <w:rPr>
          <w:i/>
          <w:lang w:val="en-US"/>
        </w:rPr>
        <w:t>central to our ability to continue to prosper as European export champions</w:t>
      </w:r>
      <w:r w:rsidRPr="00683F59">
        <w:rPr>
          <w:lang w:val="en-US"/>
        </w:rPr>
        <w:t xml:space="preserve">”. </w:t>
      </w:r>
    </w:p>
    <w:p w14:paraId="056731EC" w14:textId="77777777" w:rsidR="00624FA7" w:rsidRPr="00683F59" w:rsidRDefault="00624FA7" w:rsidP="00683F59">
      <w:pPr>
        <w:spacing w:after="0" w:line="240" w:lineRule="auto"/>
        <w:jc w:val="both"/>
        <w:rPr>
          <w:lang w:val="en-GB"/>
        </w:rPr>
      </w:pPr>
    </w:p>
    <w:p w14:paraId="7FA6A7D2" w14:textId="5979DCEA" w:rsidR="007270C5" w:rsidRDefault="007270C5" w:rsidP="00683F59">
      <w:pPr>
        <w:spacing w:after="0" w:line="240" w:lineRule="auto"/>
        <w:jc w:val="both"/>
        <w:rPr>
          <w:lang w:val="en-US"/>
        </w:rPr>
      </w:pPr>
      <w:r w:rsidRPr="00683F59">
        <w:rPr>
          <w:lang w:val="en-GB"/>
        </w:rPr>
        <w:t xml:space="preserve">Our industries continue to share an ambition for a </w:t>
      </w:r>
      <w:r w:rsidR="0068399E" w:rsidRPr="00683F59">
        <w:rPr>
          <w:lang w:val="en-GB"/>
        </w:rPr>
        <w:t>wide</w:t>
      </w:r>
      <w:r w:rsidR="0068399E">
        <w:rPr>
          <w:lang w:val="en-GB"/>
        </w:rPr>
        <w:t>-reaching</w:t>
      </w:r>
      <w:r w:rsidR="002A4793" w:rsidRPr="00683F59">
        <w:rPr>
          <w:lang w:val="en-GB"/>
        </w:rPr>
        <w:t xml:space="preserve"> </w:t>
      </w:r>
      <w:r w:rsidRPr="00683F59">
        <w:rPr>
          <w:lang w:val="en-GB"/>
        </w:rPr>
        <w:t xml:space="preserve">gold-standard FTA between the UK and the EU. </w:t>
      </w:r>
      <w:r w:rsidRPr="00683F59">
        <w:rPr>
          <w:lang w:val="en-US"/>
        </w:rPr>
        <w:t xml:space="preserve">We are encouraged that momentum has been reinjected into the negotiations, and it is essential that negotiators carry this optimism forward into the next stages of the Brexit process. </w:t>
      </w:r>
    </w:p>
    <w:p w14:paraId="1CB7DEA3" w14:textId="77777777" w:rsidR="0068399E" w:rsidRDefault="0068399E" w:rsidP="0068399E">
      <w:pPr>
        <w:pStyle w:val="ListParagraph"/>
        <w:spacing w:after="0"/>
        <w:ind w:left="0"/>
        <w:rPr>
          <w:lang w:val="en-US"/>
        </w:rPr>
      </w:pPr>
      <w:bookmarkStart w:id="0" w:name="_GoBack"/>
      <w:bookmarkEnd w:id="0"/>
    </w:p>
    <w:p w14:paraId="5F5E128D" w14:textId="7D4EC239" w:rsidR="00B77287" w:rsidRPr="0068399E" w:rsidRDefault="0068399E" w:rsidP="0068399E">
      <w:pPr>
        <w:spacing w:after="0"/>
        <w:jc w:val="center"/>
        <w:rPr>
          <w:b/>
          <w:lang w:val="en-US"/>
        </w:rPr>
      </w:pPr>
      <w:r w:rsidRPr="0068399E">
        <w:rPr>
          <w:b/>
          <w:lang w:val="en-US"/>
        </w:rPr>
        <w:t xml:space="preserve">- </w:t>
      </w:r>
      <w:r w:rsidR="007270C5" w:rsidRPr="0068399E">
        <w:rPr>
          <w:b/>
          <w:lang w:val="en-US"/>
        </w:rPr>
        <w:t>ENDS</w:t>
      </w:r>
      <w:r w:rsidRPr="0068399E">
        <w:rPr>
          <w:b/>
          <w:lang w:val="en-US"/>
        </w:rPr>
        <w:t xml:space="preserve"> -</w:t>
      </w:r>
    </w:p>
    <w:p w14:paraId="18B9733B" w14:textId="77777777" w:rsidR="0068399E" w:rsidRPr="0068399E" w:rsidRDefault="0068399E" w:rsidP="0068399E">
      <w:pPr>
        <w:pStyle w:val="ListParagraph"/>
        <w:spacing w:after="0"/>
        <w:ind w:left="786"/>
        <w:jc w:val="both"/>
        <w:rPr>
          <w:lang w:val="en-US"/>
        </w:rPr>
      </w:pPr>
    </w:p>
    <w:p w14:paraId="36FA921A" w14:textId="77777777" w:rsidR="00FC7CB8" w:rsidRDefault="00FC7CB8" w:rsidP="00985488">
      <w:pPr>
        <w:spacing w:after="0"/>
        <w:ind w:left="426"/>
        <w:rPr>
          <w:lang w:val="en-US"/>
        </w:rPr>
        <w:sectPr w:rsidR="00FC7CB8">
          <w:headerReference w:type="default" r:id="rId8"/>
          <w:pgSz w:w="11906" w:h="16838"/>
          <w:pgMar w:top="1417" w:right="1417" w:bottom="1417" w:left="1417" w:header="708" w:footer="708" w:gutter="0"/>
          <w:cols w:space="708"/>
          <w:docGrid w:linePitch="360"/>
        </w:sectPr>
      </w:pPr>
    </w:p>
    <w:p w14:paraId="0D6386C7" w14:textId="77777777" w:rsidR="00FC7CB8" w:rsidRPr="00063027" w:rsidRDefault="00063027" w:rsidP="00E2097E">
      <w:pPr>
        <w:spacing w:after="0"/>
        <w:jc w:val="both"/>
        <w:rPr>
          <w:b/>
          <w:color w:val="7F7F7F" w:themeColor="text1" w:themeTint="80"/>
          <w:sz w:val="24"/>
          <w:lang w:val="en-US"/>
        </w:rPr>
      </w:pPr>
      <w:r w:rsidRPr="00063027">
        <w:rPr>
          <w:b/>
          <w:color w:val="7F7F7F" w:themeColor="text1" w:themeTint="80"/>
          <w:sz w:val="24"/>
          <w:lang w:val="en-US"/>
        </w:rPr>
        <w:lastRenderedPageBreak/>
        <w:t>NOTE TO EDITORS</w:t>
      </w:r>
    </w:p>
    <w:p w14:paraId="4111FA88" w14:textId="6AC66A5F" w:rsidR="007270C5" w:rsidRPr="0049420D" w:rsidRDefault="007270C5" w:rsidP="0049420D">
      <w:pPr>
        <w:spacing w:after="0"/>
        <w:jc w:val="both"/>
        <w:rPr>
          <w:b/>
          <w:lang w:val="en-US"/>
        </w:rPr>
      </w:pPr>
      <w:r w:rsidRPr="0049420D">
        <w:rPr>
          <w:rFonts w:cs="Arial"/>
          <w:color w:val="222222"/>
          <w:lang w:val="en-US"/>
        </w:rPr>
        <w:t xml:space="preserve">Detailed </w:t>
      </w:r>
      <w:hyperlink r:id="rId9" w:history="1">
        <w:r w:rsidRPr="0049420D">
          <w:rPr>
            <w:rFonts w:cs="Arial"/>
            <w:b/>
            <w:bCs/>
            <w:color w:val="8C3218"/>
            <w:u w:val="single"/>
            <w:lang w:val="en-US"/>
          </w:rPr>
          <w:t>the joint position paper</w:t>
        </w:r>
      </w:hyperlink>
      <w:r w:rsidRPr="0049420D">
        <w:rPr>
          <w:rFonts w:cs="Arial"/>
          <w:color w:val="222222"/>
          <w:lang w:val="en-US"/>
        </w:rPr>
        <w:t>  / Executive Summary </w:t>
      </w:r>
      <w:hyperlink r:id="rId10" w:history="1">
        <w:r w:rsidRPr="0049420D">
          <w:rPr>
            <w:rFonts w:cs="Arial"/>
            <w:b/>
            <w:bCs/>
            <w:color w:val="8C3218"/>
            <w:u w:val="single"/>
            <w:lang w:val="en-US"/>
          </w:rPr>
          <w:t>here</w:t>
        </w:r>
      </w:hyperlink>
    </w:p>
    <w:p w14:paraId="3A3597D3" w14:textId="75F816BB" w:rsidR="007270C5" w:rsidRDefault="007270C5" w:rsidP="007270C5">
      <w:pPr>
        <w:spacing w:after="0"/>
        <w:jc w:val="center"/>
        <w:rPr>
          <w:b/>
          <w:lang w:val="en-US"/>
        </w:rPr>
      </w:pPr>
      <w:r>
        <w:rPr>
          <w:noProof/>
          <w:lang w:val="fr-FR" w:eastAsia="fr-FR"/>
        </w:rPr>
        <w:drawing>
          <wp:inline distT="0" distB="0" distL="0" distR="0" wp14:anchorId="2DF7DA51" wp14:editId="7A695742">
            <wp:extent cx="4805461" cy="642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6564" cy="6430851"/>
                    </a:xfrm>
                    <a:prstGeom prst="rect">
                      <a:avLst/>
                    </a:prstGeom>
                  </pic:spPr>
                </pic:pic>
              </a:graphicData>
            </a:graphic>
          </wp:inline>
        </w:drawing>
      </w:r>
    </w:p>
    <w:p w14:paraId="498D0AA8" w14:textId="77777777" w:rsidR="0049420D" w:rsidRPr="0049420D" w:rsidRDefault="0049420D" w:rsidP="007270C5">
      <w:pPr>
        <w:spacing w:after="0"/>
        <w:jc w:val="center"/>
        <w:rPr>
          <w:b/>
          <w:sz w:val="18"/>
          <w:lang w:val="en-US"/>
        </w:rPr>
      </w:pPr>
    </w:p>
    <w:tbl>
      <w:tblPr>
        <w:tblStyle w:val="TableGrid"/>
        <w:tblW w:w="0" w:type="auto"/>
        <w:jc w:val="center"/>
        <w:tblLook w:val="04A0" w:firstRow="1" w:lastRow="0" w:firstColumn="1" w:lastColumn="0" w:noHBand="0" w:noVBand="1"/>
      </w:tblPr>
      <w:tblGrid>
        <w:gridCol w:w="4531"/>
        <w:gridCol w:w="4531"/>
      </w:tblGrid>
      <w:tr w:rsidR="00293AE1" w:rsidRPr="0068399E" w14:paraId="6A791207" w14:textId="77777777" w:rsidTr="005C3776">
        <w:trPr>
          <w:jc w:val="center"/>
        </w:trPr>
        <w:tc>
          <w:tcPr>
            <w:tcW w:w="4531" w:type="dxa"/>
          </w:tcPr>
          <w:p w14:paraId="158C74D5" w14:textId="625F85A8" w:rsidR="007270C5" w:rsidRPr="0066500C" w:rsidRDefault="00293AE1" w:rsidP="007270C5">
            <w:pPr>
              <w:rPr>
                <w:sz w:val="20"/>
                <w:szCs w:val="20"/>
                <w:lang w:val="fr-FR"/>
              </w:rPr>
            </w:pPr>
            <w:proofErr w:type="spellStart"/>
            <w:proofErr w:type="gramStart"/>
            <w:r w:rsidRPr="0066500C">
              <w:rPr>
                <w:b/>
                <w:sz w:val="20"/>
                <w:szCs w:val="20"/>
                <w:lang w:val="fr-FR"/>
              </w:rPr>
              <w:t>spiritsEUROPE</w:t>
            </w:r>
            <w:proofErr w:type="spellEnd"/>
            <w:proofErr w:type="gramEnd"/>
            <w:r w:rsidR="007270C5" w:rsidRPr="0066500C">
              <w:rPr>
                <w:sz w:val="20"/>
                <w:szCs w:val="20"/>
                <w:lang w:val="fr-FR"/>
              </w:rPr>
              <w:t xml:space="preserve"> - Carole Brigaudeau</w:t>
            </w:r>
          </w:p>
          <w:p w14:paraId="486ADDFA" w14:textId="2F878FC6" w:rsidR="007270C5" w:rsidRDefault="0068399E" w:rsidP="007270C5">
            <w:pPr>
              <w:rPr>
                <w:sz w:val="20"/>
                <w:szCs w:val="20"/>
              </w:rPr>
            </w:pPr>
            <w:hyperlink r:id="rId12" w:history="1">
              <w:r w:rsidR="007270C5" w:rsidRPr="007270C5">
                <w:rPr>
                  <w:rStyle w:val="Hyperlink"/>
                  <w:sz w:val="20"/>
                  <w:szCs w:val="20"/>
                </w:rPr>
                <w:t>brigaudeau@spirits.eu</w:t>
              </w:r>
            </w:hyperlink>
            <w:r w:rsidR="007270C5" w:rsidRPr="007270C5">
              <w:rPr>
                <w:sz w:val="20"/>
                <w:szCs w:val="20"/>
              </w:rPr>
              <w:t xml:space="preserve"> / +32.486.117.199</w:t>
            </w:r>
          </w:p>
          <w:p w14:paraId="0FA3A26A" w14:textId="29A3C279" w:rsidR="00293AE1" w:rsidRPr="0049420D" w:rsidRDefault="0049420D" w:rsidP="0049420D">
            <w:pPr>
              <w:rPr>
                <w:sz w:val="20"/>
                <w:szCs w:val="20"/>
                <w:lang w:val="en-US"/>
              </w:rPr>
            </w:pPr>
            <w:r w:rsidRPr="0049420D">
              <w:rPr>
                <w:b/>
                <w:sz w:val="20"/>
                <w:szCs w:val="20"/>
                <w:lang w:val="en-US"/>
              </w:rPr>
              <w:t>Irish Spirit</w:t>
            </w:r>
            <w:r>
              <w:rPr>
                <w:b/>
                <w:sz w:val="20"/>
                <w:szCs w:val="20"/>
                <w:lang w:val="en-US"/>
              </w:rPr>
              <w:t>s</w:t>
            </w:r>
            <w:r w:rsidRPr="0049420D">
              <w:rPr>
                <w:b/>
                <w:sz w:val="20"/>
                <w:szCs w:val="20"/>
                <w:lang w:val="en-US"/>
              </w:rPr>
              <w:t xml:space="preserve"> Association</w:t>
            </w:r>
            <w:r w:rsidR="0068399E">
              <w:rPr>
                <w:b/>
                <w:sz w:val="20"/>
                <w:szCs w:val="20"/>
                <w:lang w:val="en-US"/>
              </w:rPr>
              <w:t xml:space="preserve"> -</w:t>
            </w:r>
            <w:r w:rsidRPr="0049420D">
              <w:rPr>
                <w:sz w:val="20"/>
                <w:szCs w:val="20"/>
                <w:lang w:val="en-US"/>
              </w:rPr>
              <w:t xml:space="preserve"> William L</w:t>
            </w:r>
            <w:r>
              <w:rPr>
                <w:sz w:val="20"/>
                <w:szCs w:val="20"/>
                <w:lang w:val="en-US"/>
              </w:rPr>
              <w:t xml:space="preserve">avelle / </w:t>
            </w:r>
            <w:r w:rsidRPr="0049420D">
              <w:rPr>
                <w:sz w:val="20"/>
                <w:szCs w:val="20"/>
                <w:lang w:val="en-US"/>
              </w:rPr>
              <w:t>+353 87 711 2063</w:t>
            </w:r>
          </w:p>
        </w:tc>
        <w:tc>
          <w:tcPr>
            <w:tcW w:w="4531" w:type="dxa"/>
          </w:tcPr>
          <w:p w14:paraId="084F6F9A" w14:textId="1B64470F" w:rsidR="00063027" w:rsidRPr="007270C5" w:rsidRDefault="007270C5" w:rsidP="007270C5">
            <w:pPr>
              <w:rPr>
                <w:sz w:val="20"/>
                <w:szCs w:val="20"/>
                <w:lang w:val="en-US"/>
              </w:rPr>
            </w:pPr>
            <w:r w:rsidRPr="00624FA7">
              <w:rPr>
                <w:b/>
                <w:sz w:val="20"/>
                <w:szCs w:val="20"/>
                <w:lang w:val="en-US"/>
              </w:rPr>
              <w:t>SWA</w:t>
            </w:r>
            <w:r>
              <w:rPr>
                <w:sz w:val="20"/>
                <w:szCs w:val="20"/>
                <w:lang w:val="en-US"/>
              </w:rPr>
              <w:t xml:space="preserve"> -</w:t>
            </w:r>
            <w:r w:rsidRPr="007270C5">
              <w:rPr>
                <w:sz w:val="20"/>
                <w:szCs w:val="20"/>
                <w:lang w:val="en-US"/>
              </w:rPr>
              <w:t xml:space="preserve"> Rosemary Gallagher </w:t>
            </w:r>
            <w:hyperlink r:id="rId13" w:history="1">
              <w:r w:rsidRPr="007270C5">
                <w:rPr>
                  <w:rStyle w:val="Hyperlink"/>
                  <w:sz w:val="20"/>
                  <w:szCs w:val="20"/>
                  <w:lang w:val="en-US"/>
                </w:rPr>
                <w:t>rgallagher@swa.org.uk /</w:t>
              </w:r>
            </w:hyperlink>
            <w:r w:rsidRPr="007270C5">
              <w:rPr>
                <w:sz w:val="20"/>
                <w:szCs w:val="20"/>
                <w:lang w:val="en-US"/>
              </w:rPr>
              <w:t xml:space="preserve"> +447432605385 or Beatrice Morrice </w:t>
            </w:r>
            <w:hyperlink r:id="rId14" w:history="1">
              <w:r w:rsidRPr="007270C5">
                <w:rPr>
                  <w:rStyle w:val="Hyperlink"/>
                  <w:sz w:val="20"/>
                  <w:szCs w:val="20"/>
                  <w:lang w:val="en-US"/>
                </w:rPr>
                <w:t>bmorrice@swa.org.uk</w:t>
              </w:r>
            </w:hyperlink>
            <w:r w:rsidRPr="007270C5">
              <w:rPr>
                <w:sz w:val="20"/>
                <w:szCs w:val="20"/>
                <w:lang w:val="en-US"/>
              </w:rPr>
              <w:t xml:space="preserve"> / +447432605387</w:t>
            </w:r>
          </w:p>
        </w:tc>
      </w:tr>
      <w:tr w:rsidR="00293AE1" w:rsidRPr="007270C5" w14:paraId="03F61B8C" w14:textId="77777777" w:rsidTr="005C3776">
        <w:trPr>
          <w:jc w:val="center"/>
        </w:trPr>
        <w:tc>
          <w:tcPr>
            <w:tcW w:w="4531" w:type="dxa"/>
          </w:tcPr>
          <w:p w14:paraId="63147BA6" w14:textId="572A8CA9" w:rsidR="005C3776" w:rsidRPr="0066500C" w:rsidRDefault="007270C5" w:rsidP="007270C5">
            <w:pPr>
              <w:rPr>
                <w:sz w:val="20"/>
                <w:szCs w:val="20"/>
                <w:lang w:val="es-ES"/>
              </w:rPr>
            </w:pPr>
            <w:r w:rsidRPr="0066500C">
              <w:rPr>
                <w:b/>
                <w:sz w:val="20"/>
                <w:szCs w:val="20"/>
                <w:lang w:val="es-ES"/>
              </w:rPr>
              <w:t>WSTA</w:t>
            </w:r>
            <w:r w:rsidRPr="0066500C">
              <w:rPr>
                <w:sz w:val="20"/>
                <w:szCs w:val="20"/>
                <w:lang w:val="es-ES"/>
              </w:rPr>
              <w:t xml:space="preserve"> - Lucy Panton </w:t>
            </w:r>
            <w:hyperlink r:id="rId15" w:history="1">
              <w:r w:rsidR="005C3776" w:rsidRPr="0066500C">
                <w:rPr>
                  <w:rStyle w:val="Hyperlink"/>
                  <w:sz w:val="20"/>
                  <w:szCs w:val="20"/>
                  <w:lang w:val="es-ES"/>
                </w:rPr>
                <w:t>lucy@wsta.co.uk</w:t>
              </w:r>
            </w:hyperlink>
          </w:p>
          <w:p w14:paraId="41B58164" w14:textId="706D5B4D" w:rsidR="00293AE1" w:rsidRPr="007270C5" w:rsidRDefault="007270C5" w:rsidP="0049420D">
            <w:pPr>
              <w:rPr>
                <w:sz w:val="20"/>
                <w:szCs w:val="20"/>
              </w:rPr>
            </w:pPr>
            <w:r w:rsidRPr="007270C5">
              <w:rPr>
                <w:sz w:val="20"/>
                <w:szCs w:val="20"/>
              </w:rPr>
              <w:t>+447776422656</w:t>
            </w:r>
          </w:p>
        </w:tc>
        <w:tc>
          <w:tcPr>
            <w:tcW w:w="4531" w:type="dxa"/>
          </w:tcPr>
          <w:p w14:paraId="20906CD2" w14:textId="0F858900" w:rsidR="007270C5" w:rsidRPr="007270C5" w:rsidRDefault="007270C5" w:rsidP="007270C5">
            <w:pPr>
              <w:rPr>
                <w:sz w:val="20"/>
                <w:szCs w:val="20"/>
              </w:rPr>
            </w:pPr>
            <w:r w:rsidRPr="007270C5">
              <w:rPr>
                <w:b/>
                <w:sz w:val="20"/>
                <w:szCs w:val="20"/>
              </w:rPr>
              <w:t>CEEV</w:t>
            </w:r>
            <w:r>
              <w:rPr>
                <w:sz w:val="20"/>
                <w:szCs w:val="20"/>
              </w:rPr>
              <w:t xml:space="preserve"> -</w:t>
            </w:r>
            <w:r w:rsidRPr="007270C5">
              <w:rPr>
                <w:sz w:val="20"/>
                <w:szCs w:val="20"/>
              </w:rPr>
              <w:t xml:space="preserve"> Dr Ignacio Sanchez Recarte</w:t>
            </w:r>
          </w:p>
          <w:p w14:paraId="6CD008FF" w14:textId="17660613" w:rsidR="00B84543" w:rsidRPr="007270C5" w:rsidRDefault="0068399E" w:rsidP="0049420D">
            <w:pPr>
              <w:rPr>
                <w:sz w:val="20"/>
                <w:szCs w:val="20"/>
              </w:rPr>
            </w:pPr>
            <w:hyperlink r:id="rId16" w:history="1">
              <w:r w:rsidR="007270C5" w:rsidRPr="007270C5">
                <w:rPr>
                  <w:rStyle w:val="Hyperlink"/>
                  <w:sz w:val="20"/>
                  <w:szCs w:val="20"/>
                </w:rPr>
                <w:t>ceev@ceev.eu</w:t>
              </w:r>
            </w:hyperlink>
            <w:r w:rsidR="007270C5" w:rsidRPr="007270C5">
              <w:rPr>
                <w:sz w:val="20"/>
                <w:szCs w:val="20"/>
              </w:rPr>
              <w:t xml:space="preserve"> / +32.476.88.36.75</w:t>
            </w:r>
          </w:p>
        </w:tc>
      </w:tr>
    </w:tbl>
    <w:p w14:paraId="79D69A16" w14:textId="7BC6245B" w:rsidR="00985488" w:rsidRPr="007270C5" w:rsidRDefault="00985488" w:rsidP="007270C5">
      <w:pPr>
        <w:spacing w:after="0" w:line="240" w:lineRule="auto"/>
      </w:pPr>
    </w:p>
    <w:sectPr w:rsidR="00985488" w:rsidRPr="007270C5" w:rsidSect="00D451E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AA959" w14:textId="77777777" w:rsidR="00975CD0" w:rsidRDefault="00975CD0" w:rsidP="00994281">
      <w:pPr>
        <w:spacing w:after="0" w:line="240" w:lineRule="auto"/>
      </w:pPr>
      <w:r>
        <w:separator/>
      </w:r>
    </w:p>
  </w:endnote>
  <w:endnote w:type="continuationSeparator" w:id="0">
    <w:p w14:paraId="0A614F76" w14:textId="77777777" w:rsidR="00975CD0" w:rsidRDefault="00975CD0" w:rsidP="0099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Menlo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91" w:type="dxa"/>
      <w:jc w:val="center"/>
      <w:tblBorders>
        <w:right w:val="single" w:sz="4" w:space="0" w:color="auto"/>
      </w:tblBorders>
      <w:tblLook w:val="04A0" w:firstRow="1" w:lastRow="0" w:firstColumn="1" w:lastColumn="0" w:noHBand="0" w:noVBand="1"/>
    </w:tblPr>
    <w:tblGrid>
      <w:gridCol w:w="1913"/>
      <w:gridCol w:w="2715"/>
      <w:gridCol w:w="2399"/>
      <w:gridCol w:w="2364"/>
    </w:tblGrid>
    <w:tr w:rsidR="0014533C" w:rsidRPr="00BB59F4" w14:paraId="7CE009DB" w14:textId="77777777" w:rsidTr="005378B7">
      <w:trPr>
        <w:trHeight w:val="1418"/>
        <w:jc w:val="center"/>
      </w:trPr>
      <w:tc>
        <w:tcPr>
          <w:tcW w:w="1913" w:type="dxa"/>
          <w:tcBorders>
            <w:right w:val="single" w:sz="4" w:space="0" w:color="auto"/>
          </w:tcBorders>
          <w:shd w:val="clear" w:color="auto" w:fill="auto"/>
        </w:tcPr>
        <w:p w14:paraId="6CA8139B" w14:textId="77777777" w:rsidR="0014533C" w:rsidRPr="00C23CD8" w:rsidRDefault="0014533C" w:rsidP="00BB59F4">
          <w:pPr>
            <w:spacing w:after="0" w:line="240" w:lineRule="auto"/>
            <w:jc w:val="center"/>
            <w:rPr>
              <w:rFonts w:eastAsia="Times New Roman"/>
              <w:b/>
              <w:color w:val="8C3218"/>
              <w:sz w:val="18"/>
              <w:szCs w:val="18"/>
              <w:lang w:eastAsia="fr-FR"/>
            </w:rPr>
          </w:pPr>
          <w:proofErr w:type="spellStart"/>
          <w:proofErr w:type="gramStart"/>
          <w:r w:rsidRPr="00C23CD8">
            <w:rPr>
              <w:rFonts w:eastAsia="Times New Roman"/>
              <w:b/>
              <w:color w:val="8C3218"/>
              <w:sz w:val="18"/>
              <w:szCs w:val="18"/>
              <w:lang w:eastAsia="fr-FR"/>
            </w:rPr>
            <w:t>spiritsEUROPE</w:t>
          </w:r>
          <w:proofErr w:type="spellEnd"/>
          <w:proofErr w:type="gramEnd"/>
        </w:p>
        <w:p w14:paraId="070501F8" w14:textId="77777777" w:rsidR="0014533C" w:rsidRPr="00BB59F4" w:rsidRDefault="0014533C" w:rsidP="00BB59F4">
          <w:pPr>
            <w:spacing w:after="0" w:line="240" w:lineRule="auto"/>
            <w:jc w:val="center"/>
            <w:rPr>
              <w:rFonts w:eastAsia="Times New Roman"/>
              <w:b/>
              <w:sz w:val="18"/>
              <w:szCs w:val="18"/>
              <w:lang w:eastAsia="fr-FR"/>
            </w:rPr>
          </w:pPr>
        </w:p>
        <w:p w14:paraId="662946DB" w14:textId="77777777" w:rsidR="0014533C" w:rsidRDefault="0014533C" w:rsidP="00BB59F4">
          <w:pPr>
            <w:spacing w:after="0" w:line="240" w:lineRule="auto"/>
            <w:jc w:val="center"/>
            <w:rPr>
              <w:rFonts w:eastAsia="Times New Roman"/>
              <w:sz w:val="18"/>
              <w:szCs w:val="18"/>
              <w:lang w:eastAsia="fr-FR"/>
            </w:rPr>
          </w:pPr>
        </w:p>
        <w:p w14:paraId="58902F80" w14:textId="77777777" w:rsidR="0014533C" w:rsidRPr="00BB59F4" w:rsidRDefault="0014533C" w:rsidP="00BB59F4">
          <w:pPr>
            <w:spacing w:after="0" w:line="240" w:lineRule="auto"/>
            <w:jc w:val="center"/>
            <w:rPr>
              <w:rFonts w:eastAsia="Times New Roman"/>
              <w:sz w:val="18"/>
              <w:szCs w:val="18"/>
              <w:lang w:eastAsia="fr-FR"/>
            </w:rPr>
          </w:pPr>
          <w:proofErr w:type="gramStart"/>
          <w:r w:rsidRPr="00BB59F4">
            <w:rPr>
              <w:rFonts w:eastAsia="Times New Roman"/>
              <w:sz w:val="18"/>
              <w:szCs w:val="18"/>
              <w:lang w:eastAsia="fr-FR"/>
            </w:rPr>
            <w:t>rue</w:t>
          </w:r>
          <w:proofErr w:type="gramEnd"/>
          <w:r w:rsidRPr="00BB59F4">
            <w:rPr>
              <w:rFonts w:eastAsia="Times New Roman"/>
              <w:sz w:val="18"/>
              <w:szCs w:val="18"/>
              <w:lang w:eastAsia="fr-FR"/>
            </w:rPr>
            <w:t xml:space="preserve"> Belliard 12, b/5</w:t>
          </w:r>
        </w:p>
        <w:p w14:paraId="2E7B2994" w14:textId="77777777" w:rsidR="0014533C" w:rsidRPr="00BB59F4" w:rsidRDefault="0014533C" w:rsidP="00BB59F4">
          <w:pPr>
            <w:spacing w:after="0" w:line="240" w:lineRule="auto"/>
            <w:jc w:val="center"/>
            <w:rPr>
              <w:rFonts w:eastAsia="Times New Roman"/>
              <w:sz w:val="18"/>
              <w:szCs w:val="18"/>
              <w:lang w:eastAsia="fr-FR"/>
            </w:rPr>
          </w:pPr>
          <w:r w:rsidRPr="00BB59F4">
            <w:rPr>
              <w:rFonts w:eastAsia="Times New Roman"/>
              <w:sz w:val="18"/>
              <w:szCs w:val="18"/>
              <w:lang w:eastAsia="fr-FR"/>
            </w:rPr>
            <w:t>B- 1040 Brussels</w:t>
          </w:r>
        </w:p>
        <w:p w14:paraId="45F6D1B5" w14:textId="77777777" w:rsidR="0014533C" w:rsidRPr="00BB59F4" w:rsidRDefault="0014533C" w:rsidP="00BB59F4">
          <w:pPr>
            <w:spacing w:after="0" w:line="240" w:lineRule="auto"/>
            <w:jc w:val="center"/>
            <w:rPr>
              <w:rFonts w:eastAsia="Times New Roman"/>
              <w:sz w:val="18"/>
              <w:szCs w:val="18"/>
              <w:lang w:eastAsia="fr-FR"/>
            </w:rPr>
          </w:pPr>
        </w:p>
        <w:p w14:paraId="28D7D669" w14:textId="77777777" w:rsidR="0014533C" w:rsidRPr="00BB59F4" w:rsidRDefault="0014533C" w:rsidP="00BB59F4">
          <w:pPr>
            <w:spacing w:after="0" w:line="240" w:lineRule="auto"/>
            <w:jc w:val="center"/>
            <w:rPr>
              <w:rFonts w:eastAsia="Times New Roman"/>
              <w:sz w:val="18"/>
              <w:szCs w:val="18"/>
              <w:lang w:val="en-US" w:eastAsia="fr-FR"/>
            </w:rPr>
          </w:pPr>
          <w:r w:rsidRPr="00BB59F4">
            <w:rPr>
              <w:rFonts w:eastAsia="Times New Roman"/>
              <w:sz w:val="18"/>
              <w:szCs w:val="18"/>
              <w:lang w:eastAsia="fr-FR"/>
            </w:rPr>
            <w:t xml:space="preserve">www.spirits.eu </w:t>
          </w:r>
        </w:p>
      </w:tc>
      <w:tc>
        <w:tcPr>
          <w:tcW w:w="2715" w:type="dxa"/>
          <w:tcBorders>
            <w:left w:val="single" w:sz="4" w:space="0" w:color="auto"/>
            <w:bottom w:val="nil"/>
            <w:right w:val="single" w:sz="4" w:space="0" w:color="auto"/>
          </w:tcBorders>
          <w:shd w:val="clear" w:color="auto" w:fill="auto"/>
        </w:tcPr>
        <w:p w14:paraId="7B4942D2" w14:textId="77777777" w:rsidR="0014533C" w:rsidRPr="00C23CD8" w:rsidRDefault="0014533C" w:rsidP="00BB59F4">
          <w:pPr>
            <w:spacing w:after="0" w:line="240" w:lineRule="auto"/>
            <w:jc w:val="center"/>
            <w:rPr>
              <w:rFonts w:eastAsia="Times New Roman"/>
              <w:b/>
              <w:color w:val="8C3218"/>
              <w:sz w:val="18"/>
              <w:szCs w:val="18"/>
              <w:lang w:val="en-US" w:eastAsia="fr-FR"/>
            </w:rPr>
          </w:pPr>
          <w:r w:rsidRPr="00C23CD8">
            <w:rPr>
              <w:rFonts w:eastAsia="Times New Roman"/>
              <w:b/>
              <w:color w:val="8C3218"/>
              <w:sz w:val="18"/>
              <w:szCs w:val="18"/>
              <w:lang w:val="en-US" w:eastAsia="fr-FR"/>
            </w:rPr>
            <w:t>SWA</w:t>
          </w:r>
        </w:p>
        <w:p w14:paraId="449579D6" w14:textId="77777777" w:rsidR="0014533C" w:rsidRDefault="0014533C" w:rsidP="00BB59F4">
          <w:pPr>
            <w:spacing w:after="0" w:line="240" w:lineRule="auto"/>
            <w:jc w:val="center"/>
            <w:rPr>
              <w:rFonts w:eastAsia="Times New Roman"/>
              <w:sz w:val="18"/>
              <w:szCs w:val="18"/>
              <w:lang w:val="en-US" w:eastAsia="fr-FR"/>
            </w:rPr>
          </w:pPr>
          <w:r w:rsidRPr="00BB59F4">
            <w:rPr>
              <w:rFonts w:eastAsia="Times New Roman"/>
              <w:sz w:val="18"/>
              <w:szCs w:val="18"/>
              <w:lang w:val="en-US" w:eastAsia="fr-FR"/>
            </w:rPr>
            <w:t>The Scotch Whisky Association</w:t>
          </w:r>
        </w:p>
        <w:p w14:paraId="356FD0D9" w14:textId="77777777" w:rsidR="0014533C" w:rsidRPr="00BB59F4" w:rsidRDefault="0014533C" w:rsidP="00BB59F4">
          <w:pPr>
            <w:spacing w:after="0" w:line="240" w:lineRule="auto"/>
            <w:jc w:val="center"/>
            <w:rPr>
              <w:rFonts w:eastAsia="Times New Roman"/>
              <w:sz w:val="18"/>
              <w:szCs w:val="18"/>
              <w:lang w:val="en-US" w:eastAsia="fr-FR"/>
            </w:rPr>
          </w:pPr>
        </w:p>
        <w:p w14:paraId="1DABE0F6" w14:textId="77777777" w:rsidR="0014533C" w:rsidRPr="00BB59F4" w:rsidRDefault="0014533C" w:rsidP="00BB59F4">
          <w:pPr>
            <w:spacing w:after="0" w:line="240" w:lineRule="auto"/>
            <w:jc w:val="center"/>
            <w:rPr>
              <w:rFonts w:eastAsia="Times New Roman"/>
              <w:sz w:val="18"/>
              <w:szCs w:val="18"/>
              <w:lang w:val="en-US" w:eastAsia="fr-FR"/>
            </w:rPr>
          </w:pPr>
          <w:proofErr w:type="spellStart"/>
          <w:r w:rsidRPr="00BB59F4">
            <w:rPr>
              <w:rFonts w:eastAsia="Times New Roman"/>
              <w:sz w:val="18"/>
              <w:szCs w:val="18"/>
              <w:lang w:val="en-US" w:eastAsia="fr-FR"/>
            </w:rPr>
            <w:t>Quartermile</w:t>
          </w:r>
          <w:proofErr w:type="spellEnd"/>
          <w:r w:rsidRPr="00BB59F4">
            <w:rPr>
              <w:rFonts w:eastAsia="Times New Roman"/>
              <w:sz w:val="18"/>
              <w:szCs w:val="18"/>
              <w:lang w:val="en-US" w:eastAsia="fr-FR"/>
            </w:rPr>
            <w:t xml:space="preserve"> 2, 2 Lister Square</w:t>
          </w:r>
        </w:p>
        <w:p w14:paraId="65E205D2" w14:textId="77777777" w:rsidR="0014533C" w:rsidRDefault="0014533C" w:rsidP="00BB59F4">
          <w:pPr>
            <w:spacing w:after="0" w:line="240" w:lineRule="auto"/>
            <w:jc w:val="center"/>
            <w:rPr>
              <w:rFonts w:eastAsia="Times New Roman"/>
              <w:sz w:val="18"/>
              <w:szCs w:val="18"/>
              <w:lang w:val="en-US" w:eastAsia="fr-FR"/>
            </w:rPr>
          </w:pPr>
          <w:r w:rsidRPr="00BB59F4">
            <w:rPr>
              <w:rFonts w:eastAsia="Times New Roman"/>
              <w:sz w:val="18"/>
              <w:szCs w:val="18"/>
              <w:lang w:val="en-US" w:eastAsia="fr-FR"/>
            </w:rPr>
            <w:t>UK - Edinburgh EH3 9GL</w:t>
          </w:r>
        </w:p>
        <w:p w14:paraId="2B063BEE" w14:textId="77777777" w:rsidR="0014533C" w:rsidRDefault="0014533C" w:rsidP="005378B7">
          <w:pPr>
            <w:spacing w:after="0" w:line="240" w:lineRule="auto"/>
            <w:jc w:val="center"/>
            <w:rPr>
              <w:rFonts w:eastAsia="Times New Roman"/>
              <w:sz w:val="18"/>
              <w:szCs w:val="18"/>
              <w:lang w:val="en-US" w:eastAsia="fr-FR"/>
            </w:rPr>
          </w:pPr>
        </w:p>
        <w:p w14:paraId="2935EFDB" w14:textId="77777777" w:rsidR="0014533C" w:rsidRPr="00BB59F4" w:rsidRDefault="0014533C" w:rsidP="005378B7">
          <w:pPr>
            <w:spacing w:after="0" w:line="240" w:lineRule="auto"/>
            <w:jc w:val="center"/>
            <w:rPr>
              <w:rFonts w:eastAsia="Times New Roman"/>
              <w:sz w:val="18"/>
              <w:szCs w:val="18"/>
              <w:lang w:val="en-US" w:eastAsia="fr-FR"/>
            </w:rPr>
          </w:pPr>
          <w:r>
            <w:rPr>
              <w:rFonts w:eastAsia="Times New Roman"/>
              <w:sz w:val="18"/>
              <w:szCs w:val="18"/>
              <w:lang w:val="en-US" w:eastAsia="fr-FR"/>
            </w:rPr>
            <w:t>www.scotch-whisky.org.uk</w:t>
          </w:r>
        </w:p>
      </w:tc>
      <w:tc>
        <w:tcPr>
          <w:tcW w:w="2399" w:type="dxa"/>
          <w:tcBorders>
            <w:left w:val="single" w:sz="4" w:space="0" w:color="auto"/>
            <w:right w:val="single" w:sz="4" w:space="0" w:color="auto"/>
          </w:tcBorders>
          <w:shd w:val="clear" w:color="auto" w:fill="auto"/>
        </w:tcPr>
        <w:p w14:paraId="153F6899" w14:textId="77777777" w:rsidR="0014533C" w:rsidRPr="00C23CD8" w:rsidRDefault="0014533C" w:rsidP="00BB59F4">
          <w:pPr>
            <w:spacing w:after="0" w:line="240" w:lineRule="auto"/>
            <w:jc w:val="center"/>
            <w:rPr>
              <w:rFonts w:eastAsia="Times New Roman"/>
              <w:b/>
              <w:color w:val="8C3218"/>
              <w:sz w:val="18"/>
              <w:szCs w:val="18"/>
              <w:lang w:val="en-US" w:eastAsia="fr-FR"/>
            </w:rPr>
          </w:pPr>
          <w:r w:rsidRPr="00C23CD8">
            <w:rPr>
              <w:rFonts w:eastAsia="Times New Roman"/>
              <w:b/>
              <w:color w:val="8C3218"/>
              <w:sz w:val="18"/>
              <w:szCs w:val="18"/>
              <w:lang w:val="en-US" w:eastAsia="fr-FR"/>
            </w:rPr>
            <w:t>WSTA</w:t>
          </w:r>
        </w:p>
        <w:p w14:paraId="3C9C665C" w14:textId="77777777" w:rsidR="0014533C" w:rsidRPr="00BB59F4" w:rsidRDefault="0014533C" w:rsidP="00BB59F4">
          <w:pPr>
            <w:spacing w:after="0" w:line="240" w:lineRule="auto"/>
            <w:jc w:val="center"/>
            <w:rPr>
              <w:rFonts w:eastAsia="Times New Roman"/>
              <w:sz w:val="18"/>
              <w:szCs w:val="18"/>
              <w:lang w:val="en-US" w:eastAsia="fr-FR"/>
            </w:rPr>
          </w:pPr>
          <w:r w:rsidRPr="00BB59F4">
            <w:rPr>
              <w:rFonts w:eastAsia="Times New Roman"/>
              <w:sz w:val="18"/>
              <w:szCs w:val="18"/>
              <w:lang w:val="en-US" w:eastAsia="fr-FR"/>
            </w:rPr>
            <w:t>International Wine &amp; Spirit Centre</w:t>
          </w:r>
        </w:p>
        <w:p w14:paraId="570FBAC7" w14:textId="77777777" w:rsidR="0014533C" w:rsidRPr="00BB59F4" w:rsidRDefault="0014533C" w:rsidP="00BB59F4">
          <w:pPr>
            <w:spacing w:after="0" w:line="240" w:lineRule="auto"/>
            <w:jc w:val="center"/>
            <w:rPr>
              <w:rFonts w:eastAsia="Times New Roman"/>
              <w:sz w:val="18"/>
              <w:szCs w:val="18"/>
              <w:lang w:val="en-US" w:eastAsia="fr-FR"/>
            </w:rPr>
          </w:pPr>
          <w:r w:rsidRPr="00BB59F4">
            <w:rPr>
              <w:rFonts w:eastAsia="Times New Roman"/>
              <w:sz w:val="18"/>
              <w:szCs w:val="18"/>
              <w:lang w:val="en-US" w:eastAsia="fr-FR"/>
            </w:rPr>
            <w:t xml:space="preserve">39-45 </w:t>
          </w:r>
          <w:proofErr w:type="spellStart"/>
          <w:r w:rsidRPr="00BB59F4">
            <w:rPr>
              <w:rFonts w:eastAsia="Times New Roman"/>
              <w:sz w:val="18"/>
              <w:szCs w:val="18"/>
              <w:lang w:val="en-US" w:eastAsia="fr-FR"/>
            </w:rPr>
            <w:t>Bermondsey</w:t>
          </w:r>
          <w:proofErr w:type="spellEnd"/>
          <w:r w:rsidRPr="00BB59F4">
            <w:rPr>
              <w:rFonts w:eastAsia="Times New Roman"/>
              <w:sz w:val="18"/>
              <w:szCs w:val="18"/>
              <w:lang w:val="en-US" w:eastAsia="fr-FR"/>
            </w:rPr>
            <w:t xml:space="preserve"> Street</w:t>
          </w:r>
        </w:p>
        <w:p w14:paraId="117D3897" w14:textId="77777777" w:rsidR="0014533C" w:rsidRPr="00BB59F4" w:rsidRDefault="0014533C" w:rsidP="00BB59F4">
          <w:pPr>
            <w:spacing w:after="0" w:line="240" w:lineRule="auto"/>
            <w:jc w:val="center"/>
            <w:rPr>
              <w:rFonts w:eastAsia="Times New Roman"/>
              <w:sz w:val="18"/>
              <w:szCs w:val="18"/>
              <w:lang w:val="it-IT" w:eastAsia="fr-FR"/>
            </w:rPr>
          </w:pPr>
          <w:r w:rsidRPr="00BB59F4">
            <w:rPr>
              <w:rFonts w:eastAsia="Times New Roman"/>
              <w:sz w:val="18"/>
              <w:szCs w:val="18"/>
              <w:lang w:val="it-IT" w:eastAsia="fr-FR"/>
            </w:rPr>
            <w:t>UK – London SE1 3XF</w:t>
          </w:r>
        </w:p>
        <w:p w14:paraId="0BF0B999" w14:textId="77777777" w:rsidR="0014533C" w:rsidRPr="00BB59F4" w:rsidRDefault="0014533C" w:rsidP="00BB59F4">
          <w:pPr>
            <w:spacing w:after="0" w:line="240" w:lineRule="auto"/>
            <w:jc w:val="center"/>
            <w:rPr>
              <w:rFonts w:eastAsia="Times New Roman"/>
              <w:sz w:val="18"/>
              <w:szCs w:val="18"/>
              <w:lang w:val="it-IT" w:eastAsia="fr-FR"/>
            </w:rPr>
          </w:pPr>
        </w:p>
        <w:p w14:paraId="2D0CD3A9" w14:textId="77777777" w:rsidR="0014533C" w:rsidRPr="00BB59F4" w:rsidRDefault="0014533C" w:rsidP="00BB59F4">
          <w:pPr>
            <w:spacing w:after="0" w:line="240" w:lineRule="auto"/>
            <w:jc w:val="center"/>
            <w:rPr>
              <w:rFonts w:eastAsia="Times New Roman"/>
              <w:sz w:val="18"/>
              <w:szCs w:val="18"/>
              <w:lang w:val="it-IT" w:eastAsia="fr-FR"/>
            </w:rPr>
          </w:pPr>
          <w:r w:rsidRPr="00BB59F4">
            <w:rPr>
              <w:rFonts w:eastAsia="Times New Roman"/>
              <w:sz w:val="18"/>
              <w:szCs w:val="18"/>
              <w:lang w:val="it-IT" w:eastAsia="fr-FR"/>
            </w:rPr>
            <w:t>www.wsta.co.uk</w:t>
          </w:r>
        </w:p>
      </w:tc>
      <w:tc>
        <w:tcPr>
          <w:tcW w:w="2364" w:type="dxa"/>
          <w:tcBorders>
            <w:left w:val="single" w:sz="4" w:space="0" w:color="auto"/>
            <w:right w:val="nil"/>
          </w:tcBorders>
          <w:shd w:val="clear" w:color="auto" w:fill="auto"/>
        </w:tcPr>
        <w:p w14:paraId="6020D342" w14:textId="77777777" w:rsidR="0014533C" w:rsidRPr="00C23CD8" w:rsidRDefault="0014533C" w:rsidP="00BB59F4">
          <w:pPr>
            <w:spacing w:after="0" w:line="240" w:lineRule="auto"/>
            <w:jc w:val="center"/>
            <w:rPr>
              <w:rFonts w:eastAsia="Times New Roman"/>
              <w:b/>
              <w:color w:val="8C3218"/>
              <w:sz w:val="18"/>
              <w:szCs w:val="18"/>
              <w:lang w:eastAsia="fr-FR"/>
            </w:rPr>
          </w:pPr>
          <w:r w:rsidRPr="00C23CD8">
            <w:rPr>
              <w:rFonts w:eastAsia="Times New Roman"/>
              <w:b/>
              <w:color w:val="8C3218"/>
              <w:sz w:val="18"/>
              <w:szCs w:val="18"/>
              <w:lang w:eastAsia="fr-FR"/>
            </w:rPr>
            <w:t>CEEV</w:t>
          </w:r>
        </w:p>
        <w:p w14:paraId="66557526" w14:textId="77777777" w:rsidR="0014533C" w:rsidRPr="00BB59F4" w:rsidRDefault="0014533C" w:rsidP="00BB59F4">
          <w:pPr>
            <w:spacing w:after="0" w:line="240" w:lineRule="auto"/>
            <w:jc w:val="center"/>
            <w:rPr>
              <w:rFonts w:eastAsia="Times New Roman"/>
              <w:sz w:val="18"/>
              <w:szCs w:val="18"/>
              <w:lang w:eastAsia="fr-FR"/>
            </w:rPr>
          </w:pPr>
          <w:r w:rsidRPr="00BB59F4">
            <w:rPr>
              <w:rFonts w:eastAsia="Times New Roman"/>
              <w:sz w:val="18"/>
              <w:szCs w:val="18"/>
              <w:lang w:eastAsia="fr-FR"/>
            </w:rPr>
            <w:t>Comité Européen des Entreprises Vins</w:t>
          </w:r>
        </w:p>
        <w:p w14:paraId="777C1B67" w14:textId="77777777" w:rsidR="0014533C" w:rsidRPr="00BB59F4" w:rsidRDefault="0014533C" w:rsidP="00BB59F4">
          <w:pPr>
            <w:spacing w:after="0" w:line="240" w:lineRule="auto"/>
            <w:jc w:val="center"/>
            <w:rPr>
              <w:rFonts w:eastAsia="Times New Roman"/>
              <w:sz w:val="18"/>
              <w:szCs w:val="18"/>
              <w:lang w:eastAsia="fr-FR"/>
            </w:rPr>
          </w:pPr>
          <w:r w:rsidRPr="00BB59F4">
            <w:rPr>
              <w:rFonts w:eastAsia="Times New Roman"/>
              <w:sz w:val="18"/>
              <w:szCs w:val="18"/>
              <w:lang w:eastAsia="fr-FR"/>
            </w:rPr>
            <w:t>Avenue des Arts 43, b/5</w:t>
          </w:r>
        </w:p>
        <w:p w14:paraId="6F342E22" w14:textId="77777777" w:rsidR="0014533C" w:rsidRPr="00BB59F4" w:rsidRDefault="0014533C" w:rsidP="00BB59F4">
          <w:pPr>
            <w:spacing w:after="0" w:line="240" w:lineRule="auto"/>
            <w:jc w:val="center"/>
            <w:rPr>
              <w:rFonts w:eastAsia="Times New Roman"/>
              <w:sz w:val="18"/>
              <w:szCs w:val="18"/>
              <w:lang w:eastAsia="fr-FR"/>
            </w:rPr>
          </w:pPr>
          <w:r w:rsidRPr="00BB59F4">
            <w:rPr>
              <w:rFonts w:eastAsia="Times New Roman"/>
              <w:sz w:val="18"/>
              <w:szCs w:val="18"/>
              <w:lang w:eastAsia="fr-FR"/>
            </w:rPr>
            <w:t>B-1040 Brussels</w:t>
          </w:r>
        </w:p>
        <w:p w14:paraId="3FDAC7F6" w14:textId="77777777" w:rsidR="0014533C" w:rsidRPr="00BB59F4" w:rsidRDefault="0014533C" w:rsidP="00BB59F4">
          <w:pPr>
            <w:spacing w:after="0" w:line="240" w:lineRule="auto"/>
            <w:jc w:val="center"/>
            <w:rPr>
              <w:rFonts w:eastAsia="Times New Roman"/>
              <w:sz w:val="18"/>
              <w:szCs w:val="18"/>
              <w:lang w:eastAsia="fr-FR"/>
            </w:rPr>
          </w:pPr>
        </w:p>
        <w:p w14:paraId="4735FAB7" w14:textId="77777777" w:rsidR="0014533C" w:rsidRPr="00BB59F4" w:rsidRDefault="0014533C" w:rsidP="00BB59F4">
          <w:pPr>
            <w:spacing w:after="0" w:line="240" w:lineRule="auto"/>
            <w:jc w:val="center"/>
            <w:rPr>
              <w:rFonts w:eastAsia="Times New Roman"/>
              <w:sz w:val="18"/>
              <w:szCs w:val="18"/>
              <w:lang w:val="it-IT" w:eastAsia="fr-FR"/>
            </w:rPr>
          </w:pPr>
          <w:r w:rsidRPr="00BB59F4">
            <w:rPr>
              <w:rFonts w:eastAsia="Times New Roman"/>
              <w:sz w:val="18"/>
              <w:szCs w:val="18"/>
              <w:lang w:val="en-US" w:eastAsia="fr-FR"/>
            </w:rPr>
            <w:t>www.ceev.eu</w:t>
          </w:r>
          <w:r w:rsidRPr="00BB59F4">
            <w:rPr>
              <w:rFonts w:eastAsia="Times New Roman"/>
              <w:b/>
              <w:sz w:val="18"/>
              <w:szCs w:val="18"/>
              <w:lang w:val="en-US" w:eastAsia="fr-FR"/>
            </w:rPr>
            <w:t xml:space="preserve"> </w:t>
          </w:r>
        </w:p>
      </w:tc>
    </w:tr>
  </w:tbl>
  <w:p w14:paraId="39E70C6C" w14:textId="77777777" w:rsidR="0014533C" w:rsidRPr="00BB59F4" w:rsidRDefault="0014533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AA1D9" w14:textId="77777777" w:rsidR="00975CD0" w:rsidRDefault="00975CD0" w:rsidP="00994281">
      <w:pPr>
        <w:spacing w:after="0" w:line="240" w:lineRule="auto"/>
      </w:pPr>
      <w:r>
        <w:separator/>
      </w:r>
    </w:p>
  </w:footnote>
  <w:footnote w:type="continuationSeparator" w:id="0">
    <w:p w14:paraId="4201AE12" w14:textId="77777777" w:rsidR="00975CD0" w:rsidRDefault="00975CD0" w:rsidP="00994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27B8" w14:textId="77777777" w:rsidR="0014533C" w:rsidRDefault="0014533C" w:rsidP="00683F59">
    <w:pPr>
      <w:pStyle w:val="Header"/>
      <w:jc w:val="center"/>
    </w:pPr>
    <w:r>
      <w:rPr>
        <w:noProof/>
        <w:lang w:val="fr-FR" w:eastAsia="fr-FR"/>
      </w:rPr>
      <w:drawing>
        <wp:inline distT="0" distB="0" distL="0" distR="0" wp14:anchorId="0F553352" wp14:editId="09475A41">
          <wp:extent cx="5233557" cy="21812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82523" cy="2201633"/>
                  </a:xfrm>
                  <a:prstGeom prst="rect">
                    <a:avLst/>
                  </a:prstGeom>
                </pic:spPr>
              </pic:pic>
            </a:graphicData>
          </a:graphic>
        </wp:inline>
      </w:drawing>
    </w:r>
  </w:p>
  <w:p w14:paraId="3D99DCEF" w14:textId="77777777" w:rsidR="0014533C" w:rsidRDefault="00145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789E" w14:textId="6E1E18A8" w:rsidR="0014533C" w:rsidRDefault="0014533C">
    <w:pPr>
      <w:pStyle w:val="Header"/>
      <w:jc w:val="center"/>
    </w:pPr>
    <w:r>
      <w:fldChar w:fldCharType="begin"/>
    </w:r>
    <w:r>
      <w:instrText xml:space="preserve"> PAGE   \* MERGEFORMAT </w:instrText>
    </w:r>
    <w:r>
      <w:fldChar w:fldCharType="separate"/>
    </w:r>
    <w:r w:rsidR="0068399E">
      <w:rPr>
        <w:noProof/>
      </w:rPr>
      <w:t>2</w:t>
    </w:r>
    <w:r>
      <w:rPr>
        <w:noProof/>
      </w:rPr>
      <w:fldChar w:fldCharType="end"/>
    </w:r>
  </w:p>
  <w:p w14:paraId="7F832022" w14:textId="77777777" w:rsidR="0014533C" w:rsidRDefault="00145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2421"/>
    <w:multiLevelType w:val="hybridMultilevel"/>
    <w:tmpl w:val="7A0242C6"/>
    <w:lvl w:ilvl="0" w:tplc="C34E27A6">
      <w:start w:val="17"/>
      <w:numFmt w:val="bullet"/>
      <w:lvlText w:val="-"/>
      <w:lvlJc w:val="left"/>
      <w:pPr>
        <w:ind w:left="405" w:hanging="360"/>
      </w:pPr>
      <w:rPr>
        <w:rFonts w:ascii="Calibri" w:eastAsiaTheme="minorHAnsi" w:hAnsi="Calibri" w:cstheme="minorBid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 w15:restartNumberingAfterBreak="0">
    <w:nsid w:val="2C2552EE"/>
    <w:multiLevelType w:val="hybridMultilevel"/>
    <w:tmpl w:val="8D3E09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7A9401C"/>
    <w:multiLevelType w:val="hybridMultilevel"/>
    <w:tmpl w:val="81D2F7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F9A60A5"/>
    <w:multiLevelType w:val="hybridMultilevel"/>
    <w:tmpl w:val="AED82E7C"/>
    <w:lvl w:ilvl="0" w:tplc="71E847BE">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60E737A"/>
    <w:multiLevelType w:val="hybridMultilevel"/>
    <w:tmpl w:val="DABAA1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B4E65D5"/>
    <w:multiLevelType w:val="hybridMultilevel"/>
    <w:tmpl w:val="D2489B2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DC70D4"/>
    <w:multiLevelType w:val="hybridMultilevel"/>
    <w:tmpl w:val="BAE22198"/>
    <w:lvl w:ilvl="0" w:tplc="4774C100">
      <w:start w:val="5"/>
      <w:numFmt w:val="bullet"/>
      <w:lvlText w:val="-"/>
      <w:lvlJc w:val="left"/>
      <w:pPr>
        <w:ind w:left="786" w:hanging="360"/>
      </w:pPr>
      <w:rPr>
        <w:rFonts w:ascii="Calibri" w:eastAsiaTheme="minorHAnsi" w:hAnsi="Calibri" w:cstheme="minorBid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81"/>
    <w:rsid w:val="00046C0C"/>
    <w:rsid w:val="00063027"/>
    <w:rsid w:val="000B6777"/>
    <w:rsid w:val="0011259C"/>
    <w:rsid w:val="0011714F"/>
    <w:rsid w:val="0014533C"/>
    <w:rsid w:val="00145F1D"/>
    <w:rsid w:val="001825B4"/>
    <w:rsid w:val="001A238E"/>
    <w:rsid w:val="001B766C"/>
    <w:rsid w:val="001D2727"/>
    <w:rsid w:val="001E0263"/>
    <w:rsid w:val="0020336D"/>
    <w:rsid w:val="0022346C"/>
    <w:rsid w:val="00277829"/>
    <w:rsid w:val="0029179A"/>
    <w:rsid w:val="00293AE1"/>
    <w:rsid w:val="002A4793"/>
    <w:rsid w:val="003331CD"/>
    <w:rsid w:val="00362729"/>
    <w:rsid w:val="00380EDF"/>
    <w:rsid w:val="003B18B4"/>
    <w:rsid w:val="003B73C4"/>
    <w:rsid w:val="003C07A8"/>
    <w:rsid w:val="003E39EB"/>
    <w:rsid w:val="003F06AD"/>
    <w:rsid w:val="00420A85"/>
    <w:rsid w:val="00457C3F"/>
    <w:rsid w:val="0049420D"/>
    <w:rsid w:val="00531831"/>
    <w:rsid w:val="005378B7"/>
    <w:rsid w:val="00537927"/>
    <w:rsid w:val="0055085F"/>
    <w:rsid w:val="00553655"/>
    <w:rsid w:val="005849A3"/>
    <w:rsid w:val="005C3776"/>
    <w:rsid w:val="005F14FD"/>
    <w:rsid w:val="00624FA7"/>
    <w:rsid w:val="006321B5"/>
    <w:rsid w:val="0066500C"/>
    <w:rsid w:val="0068399E"/>
    <w:rsid w:val="00683F59"/>
    <w:rsid w:val="00693869"/>
    <w:rsid w:val="00696357"/>
    <w:rsid w:val="006C0530"/>
    <w:rsid w:val="006C056C"/>
    <w:rsid w:val="006D4AEA"/>
    <w:rsid w:val="00706ACF"/>
    <w:rsid w:val="007270C5"/>
    <w:rsid w:val="00770FA7"/>
    <w:rsid w:val="007760F7"/>
    <w:rsid w:val="00781F99"/>
    <w:rsid w:val="00785DD2"/>
    <w:rsid w:val="007A4F04"/>
    <w:rsid w:val="007C1D5E"/>
    <w:rsid w:val="007E293D"/>
    <w:rsid w:val="00815E75"/>
    <w:rsid w:val="00836233"/>
    <w:rsid w:val="00884CEB"/>
    <w:rsid w:val="0089610A"/>
    <w:rsid w:val="008C724D"/>
    <w:rsid w:val="00963AC2"/>
    <w:rsid w:val="00975CD0"/>
    <w:rsid w:val="00985488"/>
    <w:rsid w:val="00994281"/>
    <w:rsid w:val="009D7B07"/>
    <w:rsid w:val="00AD03ED"/>
    <w:rsid w:val="00B44043"/>
    <w:rsid w:val="00B77287"/>
    <w:rsid w:val="00B81220"/>
    <w:rsid w:val="00B84543"/>
    <w:rsid w:val="00B900E7"/>
    <w:rsid w:val="00BA27D1"/>
    <w:rsid w:val="00BB59F4"/>
    <w:rsid w:val="00BE07D3"/>
    <w:rsid w:val="00BF4637"/>
    <w:rsid w:val="00BF6D70"/>
    <w:rsid w:val="00C200FD"/>
    <w:rsid w:val="00C23CD8"/>
    <w:rsid w:val="00C4051B"/>
    <w:rsid w:val="00C56422"/>
    <w:rsid w:val="00C83613"/>
    <w:rsid w:val="00C979C5"/>
    <w:rsid w:val="00CB794E"/>
    <w:rsid w:val="00CD2796"/>
    <w:rsid w:val="00CE42C7"/>
    <w:rsid w:val="00D211DE"/>
    <w:rsid w:val="00D368A7"/>
    <w:rsid w:val="00D37C1E"/>
    <w:rsid w:val="00D451E2"/>
    <w:rsid w:val="00D87196"/>
    <w:rsid w:val="00DF57EE"/>
    <w:rsid w:val="00E00D4E"/>
    <w:rsid w:val="00E0211F"/>
    <w:rsid w:val="00E2097E"/>
    <w:rsid w:val="00E42C76"/>
    <w:rsid w:val="00E53BFA"/>
    <w:rsid w:val="00E955F1"/>
    <w:rsid w:val="00EC1ECC"/>
    <w:rsid w:val="00EE2D37"/>
    <w:rsid w:val="00EE645D"/>
    <w:rsid w:val="00EF6706"/>
    <w:rsid w:val="00F1475F"/>
    <w:rsid w:val="00F33A58"/>
    <w:rsid w:val="00F74E89"/>
    <w:rsid w:val="00F93B62"/>
    <w:rsid w:val="00F97754"/>
    <w:rsid w:val="00FC7CB8"/>
    <w:rsid w:val="00FE31F7"/>
    <w:rsid w:val="00FE407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C685EE1"/>
  <w15:docId w15:val="{232C8012-AE9B-4715-A8DF-E8738CD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4281"/>
  </w:style>
  <w:style w:type="paragraph" w:styleId="Footer">
    <w:name w:val="footer"/>
    <w:basedOn w:val="Normal"/>
    <w:link w:val="FooterChar"/>
    <w:uiPriority w:val="99"/>
    <w:unhideWhenUsed/>
    <w:rsid w:val="009942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4281"/>
  </w:style>
  <w:style w:type="paragraph" w:styleId="ListParagraph">
    <w:name w:val="List Paragraph"/>
    <w:basedOn w:val="Normal"/>
    <w:uiPriority w:val="34"/>
    <w:qFormat/>
    <w:rsid w:val="00145F1D"/>
    <w:pPr>
      <w:ind w:left="720"/>
      <w:contextualSpacing/>
    </w:pPr>
  </w:style>
  <w:style w:type="paragraph" w:styleId="BalloonText">
    <w:name w:val="Balloon Text"/>
    <w:basedOn w:val="Normal"/>
    <w:link w:val="BalloonTextChar"/>
    <w:uiPriority w:val="99"/>
    <w:semiHidden/>
    <w:unhideWhenUsed/>
    <w:rsid w:val="00836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233"/>
    <w:rPr>
      <w:rFonts w:ascii="Segoe UI" w:hAnsi="Segoe UI" w:cs="Segoe UI"/>
      <w:sz w:val="18"/>
      <w:szCs w:val="18"/>
    </w:rPr>
  </w:style>
  <w:style w:type="table" w:styleId="TableGrid">
    <w:name w:val="Table Grid"/>
    <w:basedOn w:val="TableNormal"/>
    <w:uiPriority w:val="59"/>
    <w:rsid w:val="00C23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8B7"/>
    <w:rPr>
      <w:color w:val="0000FF" w:themeColor="hyperlink"/>
      <w:u w:val="single"/>
    </w:rPr>
  </w:style>
  <w:style w:type="character" w:customStyle="1" w:styleId="UnresolvedMention1">
    <w:name w:val="Unresolved Mention1"/>
    <w:basedOn w:val="DefaultParagraphFont"/>
    <w:uiPriority w:val="99"/>
    <w:semiHidden/>
    <w:unhideWhenUsed/>
    <w:rsid w:val="00293AE1"/>
    <w:rPr>
      <w:color w:val="808080"/>
      <w:shd w:val="clear" w:color="auto" w:fill="E6E6E6"/>
    </w:rPr>
  </w:style>
  <w:style w:type="character" w:styleId="CommentReference">
    <w:name w:val="annotation reference"/>
    <w:basedOn w:val="DefaultParagraphFont"/>
    <w:uiPriority w:val="99"/>
    <w:semiHidden/>
    <w:unhideWhenUsed/>
    <w:rsid w:val="007270C5"/>
    <w:rPr>
      <w:sz w:val="16"/>
      <w:szCs w:val="16"/>
    </w:rPr>
  </w:style>
  <w:style w:type="paragraph" w:styleId="CommentText">
    <w:name w:val="annotation text"/>
    <w:basedOn w:val="Normal"/>
    <w:link w:val="CommentTextChar"/>
    <w:uiPriority w:val="99"/>
    <w:semiHidden/>
    <w:unhideWhenUsed/>
    <w:rsid w:val="007270C5"/>
    <w:pPr>
      <w:spacing w:line="240" w:lineRule="auto"/>
    </w:pPr>
    <w:rPr>
      <w:color w:val="000000"/>
      <w:sz w:val="20"/>
      <w:szCs w:val="20"/>
      <w:lang w:val="en-GB"/>
    </w:rPr>
  </w:style>
  <w:style w:type="character" w:customStyle="1" w:styleId="CommentTextChar">
    <w:name w:val="Comment Text Char"/>
    <w:basedOn w:val="DefaultParagraphFont"/>
    <w:link w:val="CommentText"/>
    <w:uiPriority w:val="99"/>
    <w:semiHidden/>
    <w:rsid w:val="007270C5"/>
    <w:rPr>
      <w:color w:val="000000"/>
      <w:sz w:val="20"/>
      <w:szCs w:val="20"/>
      <w:lang w:val="en-GB"/>
    </w:rPr>
  </w:style>
  <w:style w:type="character" w:customStyle="1" w:styleId="UnresolvedMention2">
    <w:name w:val="Unresolved Mention2"/>
    <w:basedOn w:val="DefaultParagraphFont"/>
    <w:uiPriority w:val="99"/>
    <w:semiHidden/>
    <w:unhideWhenUsed/>
    <w:rsid w:val="005C3776"/>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6500C"/>
    <w:rPr>
      <w:b/>
      <w:bCs/>
      <w:color w:val="auto"/>
      <w:lang w:val="fr-BE"/>
    </w:rPr>
  </w:style>
  <w:style w:type="character" w:customStyle="1" w:styleId="CommentSubjectChar">
    <w:name w:val="Comment Subject Char"/>
    <w:basedOn w:val="CommentTextChar"/>
    <w:link w:val="CommentSubject"/>
    <w:uiPriority w:val="99"/>
    <w:semiHidden/>
    <w:rsid w:val="0066500C"/>
    <w:rPr>
      <w:b/>
      <w:bCs/>
      <w:color w:val="000000"/>
      <w:sz w:val="20"/>
      <w:szCs w:val="20"/>
      <w:lang w:val="en-GB"/>
    </w:rPr>
  </w:style>
  <w:style w:type="paragraph" w:styleId="Revision">
    <w:name w:val="Revision"/>
    <w:hidden/>
    <w:uiPriority w:val="99"/>
    <w:semiHidden/>
    <w:rsid w:val="00683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871322">
      <w:bodyDiv w:val="1"/>
      <w:marLeft w:val="0"/>
      <w:marRight w:val="0"/>
      <w:marTop w:val="0"/>
      <w:marBottom w:val="0"/>
      <w:divBdr>
        <w:top w:val="none" w:sz="0" w:space="0" w:color="auto"/>
        <w:left w:val="none" w:sz="0" w:space="0" w:color="auto"/>
        <w:bottom w:val="none" w:sz="0" w:space="0" w:color="auto"/>
        <w:right w:val="none" w:sz="0" w:space="0" w:color="auto"/>
      </w:divBdr>
    </w:div>
    <w:div w:id="622268198">
      <w:bodyDiv w:val="1"/>
      <w:marLeft w:val="0"/>
      <w:marRight w:val="0"/>
      <w:marTop w:val="0"/>
      <w:marBottom w:val="0"/>
      <w:divBdr>
        <w:top w:val="none" w:sz="0" w:space="0" w:color="auto"/>
        <w:left w:val="none" w:sz="0" w:space="0" w:color="auto"/>
        <w:bottom w:val="none" w:sz="0" w:space="0" w:color="auto"/>
        <w:right w:val="none" w:sz="0" w:space="0" w:color="auto"/>
      </w:divBdr>
    </w:div>
    <w:div w:id="714544453">
      <w:bodyDiv w:val="1"/>
      <w:marLeft w:val="0"/>
      <w:marRight w:val="0"/>
      <w:marTop w:val="0"/>
      <w:marBottom w:val="0"/>
      <w:divBdr>
        <w:top w:val="none" w:sz="0" w:space="0" w:color="auto"/>
        <w:left w:val="none" w:sz="0" w:space="0" w:color="auto"/>
        <w:bottom w:val="none" w:sz="0" w:space="0" w:color="auto"/>
        <w:right w:val="none" w:sz="0" w:space="0" w:color="auto"/>
      </w:divBdr>
    </w:div>
    <w:div w:id="18272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gallagher@swa.org.uk%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gaudeau@spirits.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eev@ceev.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lucy@wsta.co.uk" TargetMode="External"/><Relationship Id="rId10" Type="http://schemas.openxmlformats.org/officeDocument/2006/relationships/hyperlink" Target="file:///C:\Users\SpiritsEU\AppData\Local\Microsoft\Windows\Temporary%20Internet%20Files\Content.Outlook\0RGRR5R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rits.eu/upload/files/CEEV-sE%20Brexit%20position%20-%20Final%2017%20October%202017.pdf" TargetMode="External"/><Relationship Id="rId14" Type="http://schemas.openxmlformats.org/officeDocument/2006/relationships/hyperlink" Target="mailto:bmorrice@sw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EED7-5553-43ED-BEA8-C643DD80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3088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Scotch Whisky Association</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SpiritsEU</dc:creator>
  <cp:lastModifiedBy>SpiritsEU</cp:lastModifiedBy>
  <cp:revision>3</cp:revision>
  <cp:lastPrinted>2017-10-04T13:41:00Z</cp:lastPrinted>
  <dcterms:created xsi:type="dcterms:W3CDTF">2017-12-14T08:19:00Z</dcterms:created>
  <dcterms:modified xsi:type="dcterms:W3CDTF">2017-12-14T08:24:00Z</dcterms:modified>
</cp:coreProperties>
</file>